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500"/>
        <w:gridCol w:w="1980"/>
        <w:gridCol w:w="4740"/>
      </w:tblGrid>
      <w:tr w:rsidR="00CC71DA" w:rsidRPr="00517567" w:rsidTr="004A37AE">
        <w:trPr>
          <w:trHeight w:val="2431"/>
        </w:trPr>
        <w:tc>
          <w:tcPr>
            <w:tcW w:w="4500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000000" w:fill="FFFFFF"/>
          </w:tcPr>
          <w:p w:rsidR="00CC71DA" w:rsidRDefault="00CC71DA" w:rsidP="004A37AE">
            <w:pPr>
              <w:jc w:val="center"/>
              <w:rPr>
                <w:b/>
                <w:bCs/>
                <w:lang w:val="en-US"/>
              </w:rPr>
            </w:pPr>
          </w:p>
          <w:p w:rsidR="00CC71DA" w:rsidRDefault="00CC71DA" w:rsidP="004A37A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БАШКОРТОСТАН РЕСПУБЛИКАҺЫ</w:t>
            </w:r>
          </w:p>
          <w:p w:rsidR="00CC71DA" w:rsidRDefault="00CC71DA" w:rsidP="004A37A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БАЙМАК РАЙОНЫ МУНИЦИПАЛЬ</w:t>
            </w:r>
          </w:p>
          <w:p w:rsidR="00CC71DA" w:rsidRDefault="00CC71DA" w:rsidP="004A37A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РАЙОНЫНЫҢ АКМОРОН АУЫЛ</w:t>
            </w:r>
          </w:p>
          <w:p w:rsidR="00CC71DA" w:rsidRDefault="00CC71DA" w:rsidP="004A37A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СОВЕТЫ АУЫЛ БИЛӘМӘҺЕ</w:t>
            </w:r>
          </w:p>
          <w:p w:rsidR="00CC71DA" w:rsidRDefault="00CC71DA" w:rsidP="004A37A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ХӘКИМИӘТЕ</w:t>
            </w:r>
          </w:p>
          <w:p w:rsidR="00CC71DA" w:rsidRDefault="00CC71DA" w:rsidP="004A37AE">
            <w:pPr>
              <w:jc w:val="center"/>
              <w:rPr>
                <w:rFonts w:ascii="Times New Roman CYR" w:hAnsi="Times New Roman CYR" w:cs="Times New Roman CYR"/>
                <w:sz w:val="15"/>
                <w:szCs w:val="15"/>
              </w:rPr>
            </w:pPr>
            <w:r w:rsidRPr="00517567">
              <w:rPr>
                <w:b/>
                <w:bCs/>
                <w:sz w:val="22"/>
                <w:szCs w:val="22"/>
              </w:rPr>
              <w:t xml:space="preserve"> </w:t>
            </w:r>
            <w:r w:rsidRPr="00517567">
              <w:rPr>
                <w:sz w:val="15"/>
                <w:szCs w:val="15"/>
              </w:rPr>
              <w:t>453676,</w:t>
            </w:r>
            <w:r>
              <w:rPr>
                <w:rFonts w:ascii="Times New Roman CYR" w:hAnsi="Times New Roman CYR" w:cs="Times New Roman CYR"/>
                <w:sz w:val="15"/>
                <w:szCs w:val="15"/>
              </w:rPr>
              <w:t>Байма</w:t>
            </w:r>
            <w:r>
              <w:rPr>
                <w:rFonts w:ascii="Lucida Sans Unicode" w:hAnsi="Lucida Sans Unicode" w:cs="Lucida Sans Unicode"/>
                <w:sz w:val="15"/>
                <w:szCs w:val="15"/>
              </w:rPr>
              <w:t>ҡ</w:t>
            </w:r>
            <w:r>
              <w:rPr>
                <w:rFonts w:ascii="Times New Roman CYR" w:hAnsi="Times New Roman CYR" w:cs="Times New Roman CYR"/>
                <w:sz w:val="15"/>
                <w:szCs w:val="15"/>
              </w:rPr>
              <w:t>крайоны,Акморон</w:t>
            </w:r>
            <w:r w:rsidRPr="00517567">
              <w:rPr>
                <w:rFonts w:ascii="Times New Roman Bash" w:hAnsi="Times New Roman Bash" w:cs="Times New Roman Bash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5"/>
                <w:szCs w:val="15"/>
              </w:rPr>
              <w:t>ауылы</w:t>
            </w:r>
            <w:proofErr w:type="spellEnd"/>
            <w:r>
              <w:rPr>
                <w:rFonts w:ascii="Times New Roman CYR" w:hAnsi="Times New Roman CYR" w:cs="Times New Roman CYR"/>
                <w:sz w:val="15"/>
                <w:szCs w:val="15"/>
              </w:rPr>
              <w:t>, Ленин урамы,41</w:t>
            </w:r>
          </w:p>
          <w:p w:rsidR="00CC71DA" w:rsidRPr="00517567" w:rsidRDefault="00CC71DA" w:rsidP="004A37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15"/>
                <w:szCs w:val="15"/>
              </w:rPr>
              <w:t xml:space="preserve">тел.:8(34751) 4-33-67; </w:t>
            </w:r>
            <w:proofErr w:type="spellStart"/>
            <w:r>
              <w:rPr>
                <w:rFonts w:ascii="Times New Roman CYR" w:hAnsi="Times New Roman CYR" w:cs="Times New Roman CYR"/>
                <w:sz w:val="15"/>
                <w:szCs w:val="15"/>
              </w:rPr>
              <w:t>E-ma</w:t>
            </w:r>
            <w:proofErr w:type="spellEnd"/>
            <w:r>
              <w:rPr>
                <w:rFonts w:ascii="Times New Roman CYR" w:hAnsi="Times New Roman CYR" w:cs="Times New Roman CYR"/>
                <w:sz w:val="15"/>
                <w:szCs w:val="15"/>
              </w:rPr>
              <w:t>il.:akmur-sp@yandex.ru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000000" w:fill="FFFFFF"/>
            <w:vAlign w:val="center"/>
          </w:tcPr>
          <w:p w:rsidR="00CC71DA" w:rsidRDefault="00171174" w:rsidP="004A37AE">
            <w:pPr>
              <w:tabs>
                <w:tab w:val="left" w:pos="4260"/>
              </w:tabs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88582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000000" w:fill="FFFFFF"/>
          </w:tcPr>
          <w:p w:rsidR="00CC71DA" w:rsidRPr="00517567" w:rsidRDefault="00CC71DA" w:rsidP="004A37AE">
            <w:pPr>
              <w:jc w:val="center"/>
              <w:rPr>
                <w:b/>
                <w:bCs/>
                <w:sz w:val="2"/>
                <w:szCs w:val="2"/>
              </w:rPr>
            </w:pPr>
            <w:r w:rsidRPr="00517567">
              <w:rPr>
                <w:b/>
                <w:bCs/>
                <w:sz w:val="2"/>
                <w:szCs w:val="2"/>
              </w:rPr>
              <w:t xml:space="preserve"> </w:t>
            </w:r>
          </w:p>
          <w:p w:rsidR="00CC71DA" w:rsidRPr="00517567" w:rsidRDefault="00CC71DA" w:rsidP="004A37AE">
            <w:pPr>
              <w:jc w:val="center"/>
              <w:rPr>
                <w:b/>
                <w:bCs/>
              </w:rPr>
            </w:pPr>
          </w:p>
          <w:p w:rsidR="00CC71DA" w:rsidRDefault="00CC71DA" w:rsidP="004A37A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РЕСПУБЛИКА БАШКОРТОСТАН</w:t>
            </w:r>
          </w:p>
          <w:p w:rsidR="00CC71DA" w:rsidRDefault="00CC71DA" w:rsidP="004A37A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АДМИНИСТРАЦИЯ СЕЛЬСКОГО</w:t>
            </w:r>
          </w:p>
          <w:p w:rsidR="00CC71DA" w:rsidRDefault="00CC71DA" w:rsidP="004A37A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ПОСЕЛЕНИЯ АКМУРУНСКИЙ</w:t>
            </w:r>
          </w:p>
          <w:p w:rsidR="00CC71DA" w:rsidRDefault="00CC71DA" w:rsidP="004A37A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СЕЛЬСОВЕТ МУНИЦИПАЛЬНОГО </w:t>
            </w:r>
          </w:p>
          <w:p w:rsidR="00CC71DA" w:rsidRDefault="00CC71DA" w:rsidP="004A37AE">
            <w:pPr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РАЙОНА БАЙМАКСКИЙ РАЙОН</w:t>
            </w:r>
          </w:p>
          <w:p w:rsidR="00CC71DA" w:rsidRPr="00517567" w:rsidRDefault="00CC71DA" w:rsidP="004A37AE">
            <w:pPr>
              <w:jc w:val="center"/>
            </w:pPr>
          </w:p>
          <w:p w:rsidR="00CC71DA" w:rsidRDefault="00CC71DA" w:rsidP="004A37AE">
            <w:pPr>
              <w:jc w:val="center"/>
              <w:rPr>
                <w:rFonts w:ascii="Times New Roman CYR" w:hAnsi="Times New Roman CYR" w:cs="Times New Roman CYR"/>
                <w:sz w:val="15"/>
                <w:szCs w:val="15"/>
              </w:rPr>
            </w:pPr>
            <w:r w:rsidRPr="00517567">
              <w:rPr>
                <w:sz w:val="15"/>
                <w:szCs w:val="15"/>
              </w:rPr>
              <w:t>453676,</w:t>
            </w:r>
            <w:r>
              <w:rPr>
                <w:rFonts w:ascii="Times New Roman CYR" w:hAnsi="Times New Roman CYR" w:cs="Times New Roman CYR"/>
                <w:sz w:val="15"/>
                <w:szCs w:val="15"/>
              </w:rPr>
              <w:t xml:space="preserve">РБ,Баймакский район, </w:t>
            </w:r>
            <w:proofErr w:type="spellStart"/>
            <w:r>
              <w:rPr>
                <w:rFonts w:ascii="Times New Roman CYR" w:hAnsi="Times New Roman CYR" w:cs="Times New Roman CYR"/>
                <w:sz w:val="15"/>
                <w:szCs w:val="15"/>
              </w:rPr>
              <w:t>с.Акмурун</w:t>
            </w:r>
            <w:proofErr w:type="spellEnd"/>
            <w:r>
              <w:rPr>
                <w:rFonts w:ascii="Times New Roman CYR" w:hAnsi="Times New Roman CYR" w:cs="Times New Roman CYR"/>
                <w:sz w:val="15"/>
                <w:szCs w:val="15"/>
              </w:rPr>
              <w:t xml:space="preserve">, ул.Ленина,41 </w:t>
            </w:r>
          </w:p>
          <w:p w:rsidR="00CC71DA" w:rsidRPr="00517567" w:rsidRDefault="00CC71DA" w:rsidP="004A37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15"/>
                <w:szCs w:val="15"/>
              </w:rPr>
              <w:t xml:space="preserve">тел.:8(34751) 4-33-67; </w:t>
            </w:r>
            <w:proofErr w:type="spellStart"/>
            <w:r>
              <w:rPr>
                <w:rFonts w:ascii="Times New Roman CYR" w:hAnsi="Times New Roman CYR" w:cs="Times New Roman CYR"/>
                <w:sz w:val="15"/>
                <w:szCs w:val="15"/>
              </w:rPr>
              <w:t>E-ma</w:t>
            </w:r>
            <w:proofErr w:type="spellEnd"/>
            <w:r>
              <w:rPr>
                <w:rFonts w:ascii="Times New Roman CYR" w:hAnsi="Times New Roman CYR" w:cs="Times New Roman CYR"/>
                <w:sz w:val="15"/>
                <w:szCs w:val="15"/>
              </w:rPr>
              <w:t>il.:akmur-sp@yandex.ru</w:t>
            </w:r>
          </w:p>
        </w:tc>
      </w:tr>
    </w:tbl>
    <w:p w:rsidR="00CC71DA" w:rsidRDefault="00CC71DA" w:rsidP="005D6AC8">
      <w:pPr>
        <w:widowControl w:val="0"/>
        <w:autoSpaceDE w:val="0"/>
        <w:autoSpaceDN w:val="0"/>
        <w:adjustRightInd w:val="0"/>
      </w:pPr>
    </w:p>
    <w:p w:rsidR="00CC71DA" w:rsidRPr="00F1281B" w:rsidRDefault="00171174" w:rsidP="00F1281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</w:t>
      </w:r>
      <w:r w:rsidR="00CC71DA" w:rsidRPr="00F1281B">
        <w:rPr>
          <w:b/>
        </w:rPr>
        <w:t xml:space="preserve">КАРАР                                                   </w:t>
      </w:r>
      <w:r>
        <w:rPr>
          <w:b/>
        </w:rPr>
        <w:t>№27</w:t>
      </w:r>
      <w:r w:rsidR="00CC71DA" w:rsidRPr="00F1281B">
        <w:rPr>
          <w:b/>
        </w:rPr>
        <w:t xml:space="preserve">                                     </w:t>
      </w:r>
      <w:r>
        <w:rPr>
          <w:b/>
        </w:rPr>
        <w:t xml:space="preserve">     </w:t>
      </w:r>
      <w:r w:rsidR="00CC71DA" w:rsidRPr="00F1281B">
        <w:rPr>
          <w:b/>
        </w:rPr>
        <w:t>РЕШЕНИЕ</w:t>
      </w:r>
    </w:p>
    <w:p w:rsidR="00171174" w:rsidRDefault="00171174" w:rsidP="00171174">
      <w:pPr>
        <w:widowControl w:val="0"/>
        <w:tabs>
          <w:tab w:val="left" w:pos="1845"/>
        </w:tabs>
        <w:autoSpaceDE w:val="0"/>
        <w:autoSpaceDN w:val="0"/>
        <w:adjustRightInd w:val="0"/>
      </w:pPr>
      <w:r>
        <w:t>14 май 2024й.                                                                                                 14 мая 2024г.</w:t>
      </w:r>
    </w:p>
    <w:p w:rsidR="00CC71DA" w:rsidRDefault="00CC71DA" w:rsidP="00242833">
      <w:pPr>
        <w:widowControl w:val="0"/>
        <w:autoSpaceDE w:val="0"/>
        <w:autoSpaceDN w:val="0"/>
        <w:adjustRightInd w:val="0"/>
      </w:pPr>
    </w:p>
    <w:p w:rsidR="00CC71DA" w:rsidRDefault="000C5BE2" w:rsidP="000C5BE2">
      <w:pPr>
        <w:widowControl w:val="0"/>
        <w:autoSpaceDE w:val="0"/>
        <w:autoSpaceDN w:val="0"/>
        <w:adjustRightInd w:val="0"/>
        <w:ind w:firstLine="540"/>
      </w:pPr>
      <w:bookmarkStart w:id="0" w:name="_GoBack"/>
      <w:r>
        <w:t xml:space="preserve">                               </w:t>
      </w:r>
      <w:r w:rsidR="00CC71DA">
        <w:t>Об установлении дополнительных оснований</w:t>
      </w:r>
    </w:p>
    <w:p w:rsidR="00CC71DA" w:rsidRDefault="00CC71DA" w:rsidP="00F1281B">
      <w:pPr>
        <w:widowControl w:val="0"/>
        <w:autoSpaceDE w:val="0"/>
        <w:autoSpaceDN w:val="0"/>
        <w:adjustRightInd w:val="0"/>
        <w:ind w:firstLine="540"/>
        <w:jc w:val="center"/>
      </w:pPr>
      <w:r>
        <w:t>признания безнадежными к взысканию недоимки</w:t>
      </w:r>
    </w:p>
    <w:p w:rsidR="00CC71DA" w:rsidRDefault="00CC71DA" w:rsidP="00F1281B">
      <w:pPr>
        <w:widowControl w:val="0"/>
        <w:autoSpaceDE w:val="0"/>
        <w:autoSpaceDN w:val="0"/>
        <w:adjustRightInd w:val="0"/>
        <w:ind w:firstLine="540"/>
        <w:jc w:val="center"/>
      </w:pPr>
      <w:r>
        <w:t>по местным налогам (в том числе отмененным</w:t>
      </w:r>
    </w:p>
    <w:p w:rsidR="00CC71DA" w:rsidRDefault="00CC71DA" w:rsidP="00F1281B">
      <w:pPr>
        <w:widowControl w:val="0"/>
        <w:autoSpaceDE w:val="0"/>
        <w:autoSpaceDN w:val="0"/>
        <w:adjustRightInd w:val="0"/>
        <w:ind w:firstLine="540"/>
        <w:jc w:val="center"/>
      </w:pPr>
      <w:r>
        <w:t>местным налогам), задолженности по пеням,</w:t>
      </w:r>
      <w:r w:rsidR="000C5BE2">
        <w:t xml:space="preserve"> </w:t>
      </w:r>
      <w:r>
        <w:t>штрафам</w:t>
      </w:r>
    </w:p>
    <w:p w:rsidR="00CC71DA" w:rsidRDefault="00CC71DA" w:rsidP="00F1281B">
      <w:pPr>
        <w:widowControl w:val="0"/>
        <w:autoSpaceDE w:val="0"/>
        <w:autoSpaceDN w:val="0"/>
        <w:adjustRightInd w:val="0"/>
        <w:ind w:firstLine="540"/>
        <w:jc w:val="center"/>
      </w:pPr>
      <w:r>
        <w:t>по этим налогам, порядка их списания.</w:t>
      </w:r>
    </w:p>
    <w:bookmarkEnd w:id="0"/>
    <w:p w:rsidR="00CC71DA" w:rsidRDefault="00CC71DA" w:rsidP="0065142E">
      <w:pPr>
        <w:widowControl w:val="0"/>
        <w:autoSpaceDE w:val="0"/>
        <w:autoSpaceDN w:val="0"/>
        <w:adjustRightInd w:val="0"/>
        <w:ind w:firstLine="540"/>
      </w:pPr>
    </w:p>
    <w:p w:rsidR="00CC71DA" w:rsidRDefault="00CC71DA" w:rsidP="00F1281B">
      <w:pPr>
        <w:widowControl w:val="0"/>
        <w:autoSpaceDE w:val="0"/>
        <w:autoSpaceDN w:val="0"/>
        <w:adjustRightInd w:val="0"/>
      </w:pPr>
      <w:r>
        <w:t xml:space="preserve">          В соответствии с п.3 ст.59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</w:p>
    <w:p w:rsidR="00CC71DA" w:rsidRDefault="00CC71DA" w:rsidP="0065142E">
      <w:pPr>
        <w:widowControl w:val="0"/>
        <w:autoSpaceDE w:val="0"/>
        <w:autoSpaceDN w:val="0"/>
        <w:adjustRightInd w:val="0"/>
        <w:ind w:firstLine="540"/>
        <w:jc w:val="center"/>
      </w:pPr>
    </w:p>
    <w:p w:rsidR="00CC71DA" w:rsidRDefault="00CC71DA" w:rsidP="005D6AC8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РЕШИЛ:</w:t>
      </w:r>
    </w:p>
    <w:p w:rsidR="00CC71DA" w:rsidRDefault="00CC71DA" w:rsidP="0065142E">
      <w:pPr>
        <w:widowControl w:val="0"/>
        <w:autoSpaceDE w:val="0"/>
        <w:autoSpaceDN w:val="0"/>
        <w:adjustRightInd w:val="0"/>
        <w:ind w:firstLine="540"/>
        <w:jc w:val="center"/>
      </w:pPr>
    </w:p>
    <w:p w:rsidR="00CC71DA" w:rsidRDefault="00CC71DA" w:rsidP="00D57C0A">
      <w:pPr>
        <w:widowControl w:val="0"/>
        <w:autoSpaceDE w:val="0"/>
        <w:autoSpaceDN w:val="0"/>
        <w:adjustRightInd w:val="0"/>
        <w:ind w:firstLine="540"/>
        <w:jc w:val="both"/>
      </w:pPr>
      <w:r>
        <w:t>1. Установить, что безнадежными к взысканию признаются недоимка и задолженность по пеням и штрафам по местным налогам, числящиеся за отдельными налогоплательщиками, взыскание которых оказалось невозможным в случаях:</w:t>
      </w:r>
    </w:p>
    <w:p w:rsidR="00CC71DA" w:rsidRDefault="00CC71DA" w:rsidP="00D57C0A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0"/>
      <w:bookmarkEnd w:id="1"/>
      <w:r>
        <w:t>1) наличия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:rsidR="00CC71DA" w:rsidRDefault="00CC71DA" w:rsidP="00D57C0A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21"/>
      <w:bookmarkEnd w:id="2"/>
      <w:r>
        <w:t>2) наличие задолженности</w:t>
      </w:r>
      <w:r w:rsidRPr="008E4C73">
        <w:t xml:space="preserve"> со сроком образования более трех лет, исполнительные документы на взыскание которой службой судебных приставов возвращены налоговому органу как взыскателю по основаниям, установленным п.3,4 ч.1 ст.46 Федерального закона от 02.10.2007 №229-ФЗ «Об исполнительном производстве»</w:t>
      </w:r>
      <w:r>
        <w:t>;</w:t>
      </w:r>
    </w:p>
    <w:p w:rsidR="00CC71DA" w:rsidRDefault="00CC71DA" w:rsidP="00D57C0A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22"/>
      <w:bookmarkEnd w:id="3"/>
      <w:r>
        <w:t>3) наличия недоимки, задолженности по пеням и штрафам у умерших или объявленных умершими физических лиц, наследники которых не вступили в право наследования в установленный срок;</w:t>
      </w:r>
      <w:r w:rsidR="00207FDF">
        <w:t xml:space="preserve"> </w:t>
      </w:r>
    </w:p>
    <w:p w:rsidR="00207FDF" w:rsidRDefault="00CC71DA" w:rsidP="00D57C0A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23"/>
      <w:bookmarkEnd w:id="4"/>
      <w:r>
        <w:t>4) наличия задолженности по уплате пеней, срок взыскания которой в судебном порядке истек, при отсутствии недоимки, на которую они начислены;</w:t>
      </w:r>
      <w:r w:rsidR="00207FDF" w:rsidRPr="00207FDF">
        <w:t xml:space="preserve"> </w:t>
      </w:r>
    </w:p>
    <w:p w:rsidR="00CC71DA" w:rsidRDefault="00207FDF" w:rsidP="00D57C0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</w:t>
      </w:r>
      <w:r w:rsidRPr="00207FDF">
        <w:t>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</w:t>
      </w:r>
      <w:r>
        <w:t xml:space="preserve"> суд о взыскании задолженности;</w:t>
      </w:r>
    </w:p>
    <w:p w:rsidR="00CC71DA" w:rsidRPr="00E862DD" w:rsidRDefault="00CC71DA" w:rsidP="003B7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A17EA">
        <w:rPr>
          <w:rFonts w:ascii="Times New Roman" w:hAnsi="Times New Roman" w:cs="Times New Roman"/>
          <w:sz w:val="24"/>
          <w:szCs w:val="24"/>
        </w:rPr>
        <w:t>)наличия задолженности организаций</w:t>
      </w:r>
      <w:r>
        <w:rPr>
          <w:rFonts w:ascii="Times New Roman" w:hAnsi="Times New Roman" w:cs="Times New Roman"/>
          <w:sz w:val="24"/>
          <w:szCs w:val="24"/>
        </w:rPr>
        <w:t>, индивидуальных предпринимателей</w:t>
      </w:r>
      <w:r w:rsidRPr="001A17EA">
        <w:rPr>
          <w:rFonts w:ascii="Times New Roman" w:hAnsi="Times New Roman" w:cs="Times New Roman"/>
          <w:sz w:val="24"/>
          <w:szCs w:val="24"/>
        </w:rPr>
        <w:t xml:space="preserve"> и физических лиц по отмененным местным</w:t>
      </w:r>
      <w:r w:rsidRPr="00E862DD">
        <w:rPr>
          <w:rFonts w:ascii="Times New Roman" w:hAnsi="Times New Roman" w:cs="Times New Roman"/>
          <w:sz w:val="24"/>
          <w:szCs w:val="24"/>
        </w:rPr>
        <w:t xml:space="preserve">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находящимся в процедурах банкротства).</w:t>
      </w:r>
    </w:p>
    <w:p w:rsidR="00CC71DA" w:rsidRPr="00E862DD" w:rsidRDefault="00CC71DA" w:rsidP="003B7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D">
        <w:rPr>
          <w:rFonts w:ascii="Times New Roman" w:hAnsi="Times New Roman" w:cs="Times New Roman"/>
          <w:sz w:val="24"/>
          <w:szCs w:val="24"/>
        </w:rPr>
        <w:t>Суммы задолженности организаций и физических лиц по отмененным местным налогам, уплаченные до издания настоящего Решения, возврату не подлежат.</w:t>
      </w:r>
    </w:p>
    <w:p w:rsidR="00CC71DA" w:rsidRPr="00056E9D" w:rsidRDefault="00CC71DA" w:rsidP="00D57C0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Документами, подтверждающими наличие дополнительных оснований, </w:t>
      </w:r>
      <w:r w:rsidRPr="00056E9D">
        <w:lastRenderedPageBreak/>
        <w:t xml:space="preserve">предусмотренных </w:t>
      </w:r>
      <w:hyperlink r:id="rId6" w:anchor="Par19" w:history="1">
        <w:r w:rsidRPr="00056E9D">
          <w:rPr>
            <w:rStyle w:val="a3"/>
            <w:color w:val="auto"/>
            <w:u w:val="none"/>
          </w:rPr>
          <w:t>частью 1</w:t>
        </w:r>
      </w:hyperlink>
      <w:r w:rsidRPr="00056E9D">
        <w:t xml:space="preserve"> настоящей статьи, являются:</w:t>
      </w:r>
    </w:p>
    <w:p w:rsidR="00CC71DA" w:rsidRPr="00056E9D" w:rsidRDefault="00CC71DA" w:rsidP="00D57C0A">
      <w:pPr>
        <w:widowControl w:val="0"/>
        <w:autoSpaceDE w:val="0"/>
        <w:autoSpaceDN w:val="0"/>
        <w:adjustRightInd w:val="0"/>
        <w:ind w:firstLine="540"/>
        <w:jc w:val="both"/>
      </w:pPr>
      <w:r w:rsidRPr="00056E9D">
        <w:t xml:space="preserve">1)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</w:t>
      </w:r>
      <w:hyperlink r:id="rId7" w:anchor="Par20" w:history="1">
        <w:r w:rsidRPr="00056E9D">
          <w:rPr>
            <w:rStyle w:val="a3"/>
            <w:color w:val="auto"/>
            <w:u w:val="none"/>
          </w:rPr>
          <w:t>пунктами 1</w:t>
        </w:r>
      </w:hyperlink>
      <w:r w:rsidRPr="00056E9D">
        <w:t xml:space="preserve"> - </w:t>
      </w:r>
      <w:hyperlink r:id="rId8" w:anchor="Par23" w:history="1">
        <w:r>
          <w:rPr>
            <w:rStyle w:val="a3"/>
            <w:color w:val="auto"/>
            <w:u w:val="none"/>
          </w:rPr>
          <w:t>7</w:t>
        </w:r>
        <w:r w:rsidRPr="00056E9D">
          <w:rPr>
            <w:rStyle w:val="a3"/>
            <w:color w:val="auto"/>
            <w:u w:val="none"/>
          </w:rPr>
          <w:t xml:space="preserve"> части 1</w:t>
        </w:r>
      </w:hyperlink>
      <w:r w:rsidRPr="00056E9D">
        <w:t xml:space="preserve"> </w:t>
      </w:r>
      <w:proofErr w:type="spellStart"/>
      <w:r w:rsidRPr="00056E9D">
        <w:t>настояще</w:t>
      </w:r>
      <w:r>
        <w:t>горешения</w:t>
      </w:r>
      <w:proofErr w:type="spellEnd"/>
      <w:r w:rsidRPr="00056E9D">
        <w:t>;</w:t>
      </w:r>
    </w:p>
    <w:p w:rsidR="00CC71DA" w:rsidRPr="00056E9D" w:rsidRDefault="00CC71DA" w:rsidP="00D57C0A">
      <w:pPr>
        <w:widowControl w:val="0"/>
        <w:autoSpaceDE w:val="0"/>
        <w:autoSpaceDN w:val="0"/>
        <w:adjustRightInd w:val="0"/>
        <w:ind w:firstLine="540"/>
        <w:jc w:val="both"/>
      </w:pPr>
      <w:r w:rsidRPr="00056E9D">
        <w:t xml:space="preserve">2)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</w:t>
      </w:r>
      <w:hyperlink r:id="rId9" w:anchor="Par21" w:history="1">
        <w:r w:rsidRPr="00056E9D">
          <w:rPr>
            <w:rStyle w:val="a3"/>
            <w:color w:val="auto"/>
            <w:u w:val="none"/>
          </w:rPr>
          <w:t>пунктом 2 части 1</w:t>
        </w:r>
      </w:hyperlink>
      <w:r w:rsidRPr="00056E9D">
        <w:t xml:space="preserve"> </w:t>
      </w:r>
      <w:proofErr w:type="spellStart"/>
      <w:r w:rsidRPr="00056E9D">
        <w:t>настояще</w:t>
      </w:r>
      <w:r>
        <w:t>горешения</w:t>
      </w:r>
      <w:proofErr w:type="spellEnd"/>
      <w:r w:rsidRPr="00056E9D">
        <w:t>;</w:t>
      </w:r>
    </w:p>
    <w:p w:rsidR="00CC71DA" w:rsidRPr="00056E9D" w:rsidRDefault="00CC71DA" w:rsidP="00D57C0A">
      <w:pPr>
        <w:widowControl w:val="0"/>
        <w:autoSpaceDE w:val="0"/>
        <w:autoSpaceDN w:val="0"/>
        <w:adjustRightInd w:val="0"/>
        <w:ind w:firstLine="540"/>
        <w:jc w:val="both"/>
      </w:pPr>
      <w:r w:rsidRPr="00056E9D">
        <w:t xml:space="preserve">3)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 или копия решения суда об объявлении физического лица умершим - при наличии обстоятельств, предусмотренных </w:t>
      </w:r>
      <w:hyperlink r:id="rId10" w:anchor="Par22" w:history="1">
        <w:r w:rsidRPr="00056E9D">
          <w:rPr>
            <w:rStyle w:val="a3"/>
            <w:color w:val="auto"/>
            <w:u w:val="none"/>
          </w:rPr>
          <w:t>пунктом 3 части 1</w:t>
        </w:r>
      </w:hyperlink>
      <w:r w:rsidRPr="00056E9D">
        <w:t xml:space="preserve"> настояще</w:t>
      </w:r>
      <w:r>
        <w:t>го решения</w:t>
      </w:r>
      <w:r w:rsidRPr="00056E9D">
        <w:t>.</w:t>
      </w:r>
    </w:p>
    <w:p w:rsidR="00CC71DA" w:rsidRDefault="00CC71DA" w:rsidP="00D57C0A">
      <w:pPr>
        <w:widowControl w:val="0"/>
        <w:autoSpaceDE w:val="0"/>
        <w:autoSpaceDN w:val="0"/>
        <w:adjustRightInd w:val="0"/>
        <w:ind w:firstLine="540"/>
        <w:jc w:val="both"/>
      </w:pPr>
    </w:p>
    <w:p w:rsidR="00207FDF" w:rsidRDefault="00207FDF" w:rsidP="00207FDF">
      <w:pPr>
        <w:widowControl w:val="0"/>
        <w:autoSpaceDE w:val="0"/>
        <w:autoSpaceDN w:val="0"/>
        <w:adjustRightInd w:val="0"/>
        <w:ind w:firstLine="540"/>
        <w:jc w:val="both"/>
      </w:pPr>
      <w:r>
        <w:t>3. Решение о признании безнадежными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организации, физического лица.</w:t>
      </w:r>
    </w:p>
    <w:p w:rsidR="00207FDF" w:rsidRDefault="00207FDF" w:rsidP="00207FDF">
      <w:pPr>
        <w:widowControl w:val="0"/>
        <w:autoSpaceDE w:val="0"/>
        <w:autoSpaceDN w:val="0"/>
        <w:adjustRightInd w:val="0"/>
        <w:ind w:firstLine="540"/>
        <w:jc w:val="both"/>
      </w:pPr>
      <w:r>
        <w:t>4. Решение №80 от 26 мая 2017 г. считать утратившим силу.</w:t>
      </w:r>
    </w:p>
    <w:p w:rsidR="00207FDF" w:rsidRDefault="00207FDF" w:rsidP="00207FDF">
      <w:pPr>
        <w:widowControl w:val="0"/>
        <w:autoSpaceDE w:val="0"/>
        <w:autoSpaceDN w:val="0"/>
        <w:adjustRightInd w:val="0"/>
        <w:ind w:firstLine="540"/>
        <w:jc w:val="both"/>
      </w:pPr>
      <w:r>
        <w:t>5. Настоящее Решение вступает в силу с 01.01.2024 г.</w:t>
      </w:r>
    </w:p>
    <w:p w:rsidR="00CC71DA" w:rsidRDefault="00CC71DA" w:rsidP="00880DD7">
      <w:pPr>
        <w:widowControl w:val="0"/>
        <w:autoSpaceDE w:val="0"/>
        <w:autoSpaceDN w:val="0"/>
        <w:adjustRightInd w:val="0"/>
        <w:ind w:firstLine="540"/>
        <w:jc w:val="both"/>
      </w:pPr>
    </w:p>
    <w:p w:rsidR="00207FDF" w:rsidRDefault="00207FDF" w:rsidP="00207FDF">
      <w:pPr>
        <w:widowControl w:val="0"/>
        <w:autoSpaceDE w:val="0"/>
        <w:autoSpaceDN w:val="0"/>
        <w:adjustRightInd w:val="0"/>
        <w:ind w:firstLine="540"/>
        <w:jc w:val="both"/>
      </w:pPr>
    </w:p>
    <w:p w:rsidR="00207FDF" w:rsidRDefault="00207FDF" w:rsidP="00207FDF">
      <w:pPr>
        <w:widowControl w:val="0"/>
        <w:autoSpaceDE w:val="0"/>
        <w:autoSpaceDN w:val="0"/>
        <w:adjustRightInd w:val="0"/>
        <w:ind w:firstLine="540"/>
        <w:jc w:val="both"/>
      </w:pPr>
    </w:p>
    <w:p w:rsidR="00207FDF" w:rsidRDefault="00207FDF" w:rsidP="00207FDF">
      <w:pPr>
        <w:widowControl w:val="0"/>
        <w:autoSpaceDE w:val="0"/>
        <w:autoSpaceDN w:val="0"/>
        <w:adjustRightInd w:val="0"/>
        <w:ind w:firstLine="540"/>
        <w:jc w:val="both"/>
      </w:pPr>
      <w:r>
        <w:t>Глава сельского поселения</w:t>
      </w:r>
    </w:p>
    <w:p w:rsidR="00207FDF" w:rsidRDefault="00207FDF" w:rsidP="00207FDF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Акмурунский</w:t>
      </w:r>
      <w:proofErr w:type="spellEnd"/>
      <w:r>
        <w:t xml:space="preserve">  сельсовет</w:t>
      </w:r>
    </w:p>
    <w:p w:rsidR="00207FDF" w:rsidRDefault="00207FDF" w:rsidP="00207FDF">
      <w:pPr>
        <w:widowControl w:val="0"/>
        <w:autoSpaceDE w:val="0"/>
        <w:autoSpaceDN w:val="0"/>
        <w:adjustRightInd w:val="0"/>
        <w:ind w:firstLine="540"/>
        <w:jc w:val="both"/>
      </w:pPr>
      <w:r>
        <w:t>муниципального района</w:t>
      </w:r>
    </w:p>
    <w:p w:rsidR="00207FDF" w:rsidRDefault="00207FDF" w:rsidP="00207FDF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Баймакский</w:t>
      </w:r>
      <w:proofErr w:type="spellEnd"/>
      <w:r>
        <w:t xml:space="preserve"> район</w:t>
      </w:r>
    </w:p>
    <w:p w:rsidR="00CC71DA" w:rsidRDefault="00207FDF" w:rsidP="00207F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Республики Башкортостан                                                              </w:t>
      </w:r>
      <w:proofErr w:type="spellStart"/>
      <w:r w:rsidR="00CC71DA">
        <w:t>Абубакиров</w:t>
      </w:r>
      <w:proofErr w:type="spellEnd"/>
      <w:r w:rsidR="00CC71DA">
        <w:t xml:space="preserve"> М.А.  </w:t>
      </w:r>
    </w:p>
    <w:sectPr w:rsidR="00CC71DA" w:rsidSect="00B2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Bash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0A"/>
    <w:rsid w:val="00000E76"/>
    <w:rsid w:val="00056E9D"/>
    <w:rsid w:val="000C5BE2"/>
    <w:rsid w:val="000E482C"/>
    <w:rsid w:val="00171174"/>
    <w:rsid w:val="00171293"/>
    <w:rsid w:val="001A17EA"/>
    <w:rsid w:val="00207A20"/>
    <w:rsid w:val="00207FDF"/>
    <w:rsid w:val="00212591"/>
    <w:rsid w:val="00242833"/>
    <w:rsid w:val="002443C4"/>
    <w:rsid w:val="00253B63"/>
    <w:rsid w:val="00284B33"/>
    <w:rsid w:val="00310794"/>
    <w:rsid w:val="003B7637"/>
    <w:rsid w:val="004354A7"/>
    <w:rsid w:val="00473273"/>
    <w:rsid w:val="004922A0"/>
    <w:rsid w:val="004A37AE"/>
    <w:rsid w:val="00517567"/>
    <w:rsid w:val="00585549"/>
    <w:rsid w:val="005D6AC8"/>
    <w:rsid w:val="0065142E"/>
    <w:rsid w:val="00701117"/>
    <w:rsid w:val="00880DD7"/>
    <w:rsid w:val="00891353"/>
    <w:rsid w:val="008E4C73"/>
    <w:rsid w:val="0099081A"/>
    <w:rsid w:val="00A020BC"/>
    <w:rsid w:val="00A77DDB"/>
    <w:rsid w:val="00A85464"/>
    <w:rsid w:val="00A91370"/>
    <w:rsid w:val="00B2030B"/>
    <w:rsid w:val="00B75A89"/>
    <w:rsid w:val="00CA6A92"/>
    <w:rsid w:val="00CC71DA"/>
    <w:rsid w:val="00D26559"/>
    <w:rsid w:val="00D57C0A"/>
    <w:rsid w:val="00DF3596"/>
    <w:rsid w:val="00E862DD"/>
    <w:rsid w:val="00EC5C16"/>
    <w:rsid w:val="00F1281B"/>
    <w:rsid w:val="00F6759B"/>
    <w:rsid w:val="00F728F2"/>
    <w:rsid w:val="00F8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57C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D6AC8"/>
    <w:pPr>
      <w:ind w:left="720"/>
      <w:contextualSpacing/>
    </w:pPr>
  </w:style>
  <w:style w:type="paragraph" w:customStyle="1" w:styleId="ConsPlusNormal">
    <w:name w:val="ConsPlusNormal"/>
    <w:uiPriority w:val="99"/>
    <w:rsid w:val="003B763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5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B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57C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D6AC8"/>
    <w:pPr>
      <w:ind w:left="720"/>
      <w:contextualSpacing/>
    </w:pPr>
  </w:style>
  <w:style w:type="paragraph" w:customStyle="1" w:styleId="ConsPlusNormal">
    <w:name w:val="ConsPlusNormal"/>
    <w:uiPriority w:val="99"/>
    <w:rsid w:val="003B763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5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B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200-03-110\Desktop\07357%20&#1080;&#1079;%20&#1058;&#1053;&#1054;%20&#1087;&#1088;&#1077;&#1076;&#1083;%20&#1057;&#1055;&#1048;&#1057;&#1040;&#1053;&#1048;&#1045;\&#1076;&#1083;&#1103;%20&#1089;&#1087;&#1080;&#1089;&#1072;&#1085;&#1080;&#1103;\479-&#1079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0200-03-110\Desktop\07357%20&#1080;&#1079;%20&#1058;&#1053;&#1054;%20&#1087;&#1088;&#1077;&#1076;&#1083;%20&#1057;&#1055;&#1048;&#1057;&#1040;&#1053;&#1048;&#1045;\&#1076;&#1083;&#1103;%20&#1089;&#1087;&#1080;&#1089;&#1072;&#1085;&#1080;&#1103;\479-&#1079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0200-03-110\Desktop\07357%20&#1080;&#1079;%20&#1058;&#1053;&#1054;%20&#1087;&#1088;&#1077;&#1076;&#1083;%20&#1057;&#1055;&#1048;&#1057;&#1040;&#1053;&#1048;&#1045;\&#1076;&#1083;&#1103;%20&#1089;&#1087;&#1080;&#1089;&#1072;&#1085;&#1080;&#1103;\479-&#1079;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0200-03-110\Desktop\07357%20&#1080;&#1079;%20&#1058;&#1053;&#1054;%20&#1087;&#1088;&#1077;&#1076;&#1083;%20&#1057;&#1055;&#1048;&#1057;&#1040;&#1053;&#1048;&#1045;\&#1076;&#1083;&#1103;%20&#1089;&#1087;&#1080;&#1089;&#1072;&#1085;&#1080;&#1103;\479-&#107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0200-03-110\Desktop\07357%20&#1080;&#1079;%20&#1058;&#1053;&#1054;%20&#1087;&#1088;&#1077;&#1076;&#1083;%20&#1057;&#1055;&#1048;&#1057;&#1040;&#1053;&#1048;&#1045;\&#1076;&#1083;&#1103;%20&#1089;&#1087;&#1080;&#1089;&#1072;&#1085;&#1080;&#1103;\479-&#1079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Татьяна Михайловна</dc:creator>
  <cp:lastModifiedBy>Акмурунский сс</cp:lastModifiedBy>
  <cp:revision>4</cp:revision>
  <cp:lastPrinted>2024-06-11T04:15:00Z</cp:lastPrinted>
  <dcterms:created xsi:type="dcterms:W3CDTF">2024-06-11T04:18:00Z</dcterms:created>
  <dcterms:modified xsi:type="dcterms:W3CDTF">2024-06-20T07:42:00Z</dcterms:modified>
</cp:coreProperties>
</file>