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41" w:rsidRPr="00547DD7" w:rsidRDefault="00A52741" w:rsidP="00A52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A52741" w:rsidRPr="00547DD7" w:rsidRDefault="00A52741" w:rsidP="00A52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Контрольно-счетной палаты Совета 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</w:p>
    <w:p w:rsidR="00A52741" w:rsidRPr="00547DD7" w:rsidRDefault="00A52741" w:rsidP="00A52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Баймакский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 к проекту решения Совета 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Баймакский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 «Об исполнении бюджета 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Баймакский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 за 2022 год»</w:t>
      </w:r>
    </w:p>
    <w:p w:rsidR="00A52741" w:rsidRPr="00547DD7" w:rsidRDefault="00A52741" w:rsidP="00A52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741" w:rsidRPr="00547DD7" w:rsidRDefault="009E633F" w:rsidP="00A527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16.03</w:t>
      </w:r>
      <w:r w:rsidR="00A52741"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.2023г.</w:t>
      </w:r>
    </w:p>
    <w:p w:rsidR="00A52741" w:rsidRPr="00547DD7" w:rsidRDefault="00A52741" w:rsidP="00A527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 </w:t>
      </w:r>
      <w:r w:rsidRPr="00547DD7">
        <w:rPr>
          <w:rFonts w:ascii="Times New Roman" w:hAnsi="Times New Roman"/>
          <w:sz w:val="20"/>
          <w:szCs w:val="20"/>
        </w:rPr>
        <w:t xml:space="preserve">Общий объем доходов бюджета 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hAnsi="Times New Roman"/>
          <w:sz w:val="20"/>
          <w:szCs w:val="20"/>
        </w:rPr>
        <w:t xml:space="preserve"> сельсовет  муниципального района </w:t>
      </w:r>
      <w:proofErr w:type="spellStart"/>
      <w:r w:rsidRPr="00547DD7">
        <w:rPr>
          <w:rFonts w:ascii="Times New Roman" w:hAnsi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/>
          <w:sz w:val="20"/>
          <w:szCs w:val="20"/>
        </w:rPr>
        <w:t xml:space="preserve"> район (далее бюджет 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hAnsi="Times New Roman"/>
          <w:sz w:val="20"/>
          <w:szCs w:val="20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2023 года составило </w:t>
      </w:r>
      <w:r w:rsidRPr="00547DD7">
        <w:rPr>
          <w:rFonts w:ascii="Times New Roman" w:hAnsi="Times New Roman" w:cs="Times New Roman"/>
          <w:sz w:val="20"/>
          <w:szCs w:val="20"/>
        </w:rPr>
        <w:t>4612,2 тыс. рублей или 93,1 % к  годовому плану. Основными источниками доходов в структуре налоговых и неналоговых поступлений, являются: налог на имущество – 49,7 тыс. руб., что составляет 8,3% от налоговых и неналоговых доходов; земельный налог – 369,4 тыс. руб., или 61,5 % в структуре налоговых и неналоговых доходов; НДФЛ –96,4 тыс. руб. что составляет 16,0 % от налоговых и неналоговых доходов, ЕСХН- 9,2 тыс. руб., что составляет 1,5 % от налоговых и неналоговых доходов, госпошлина – 31,6 тыс. руб. что составляет 5,2 % от налоговых и неналоговых доходов, доходы от использования имущества, находящегося в государственной и муниципальной собственности – 15,9 тыс. рублей что составляет 2,6 % от налоговых и неналоговых доходов,</w:t>
      </w: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Безвозмездные поступления составили 4011,2 тыс. рублей, что составляет 86,9 % от общего дохода поступивших за двенадцать  месяцев 2022 г. </w:t>
      </w: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Расходы бюджета 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hAnsi="Times New Roman"/>
          <w:sz w:val="20"/>
          <w:szCs w:val="20"/>
        </w:rPr>
        <w:t xml:space="preserve"> сельсовет</w:t>
      </w:r>
      <w:r w:rsidRPr="00547DD7">
        <w:rPr>
          <w:rFonts w:ascii="Times New Roman" w:hAnsi="Times New Roman" w:cs="Times New Roman"/>
          <w:sz w:val="20"/>
          <w:szCs w:val="20"/>
        </w:rPr>
        <w:t xml:space="preserve"> муниципального бюджета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за январь – декабрь месяц 2022 года профинансированы в объеме 4673,3 тыс. рублей. Выполнение годового плана составило 96,3%.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2846,2 тыс. руб. или 60,9 % общих расходов за данный период, </w:t>
      </w:r>
      <w:r w:rsidRPr="00547DD7">
        <w:rPr>
          <w:rFonts w:ascii="Times New Roman" w:hAnsi="Times New Roman"/>
          <w:sz w:val="20"/>
          <w:szCs w:val="20"/>
        </w:rPr>
        <w:t>затем жилищно-коммунальное хозяйство – 764,7 тыс. рублей или 16,4 %, национальная экономика – 618,3или 13,2 %, национальная оборона – 419,3 тыс. руб.  или 9,0 %,культура – 23,7 тыс. рублей или 0,5 % от общего объема расходов.</w:t>
      </w: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>Годовой отчет подготовлен на основании отчетов распорядителей и получателей средств бюджета и составлен в соответствии со структурой и бюджетной классификацией, которое применялись при принятии решений об утверждении бюджета сельского поселения. Согласно статье 264.5 Бюджетного Кодекса российской Федерации годовой отчет об исполнении бюджета</w:t>
      </w:r>
      <w:r w:rsidRPr="00547DD7">
        <w:rPr>
          <w:sz w:val="20"/>
          <w:szCs w:val="20"/>
        </w:rPr>
        <w:t xml:space="preserve"> </w:t>
      </w:r>
      <w:r w:rsidRPr="00547DD7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Акмурунский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за 2022 год (далее – годовой отчет) представлен в Совет сельского поселения    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Акмурунский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сельсовет МР муниципального района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до 1 мая текущего года. </w:t>
      </w: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Согласно статье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- доходы бюджета </w:t>
      </w:r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547DD7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за 2022 год по кодам классификации доходов бюджетов;</w:t>
      </w: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 - ведомственная структура расходов бюджета </w:t>
      </w:r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547DD7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за 2022 год; </w:t>
      </w: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- распределение расходов бюджета </w:t>
      </w:r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547DD7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за 2022 год по разделам, подразделам, функциональной классификации расходов бюджетов Российской Федерации; </w:t>
      </w: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- источники финансирования дефицита бюджета </w:t>
      </w:r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Акмурунский</w:t>
      </w:r>
      <w:proofErr w:type="spellEnd"/>
      <w:r w:rsidRPr="0054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547DD7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за 2022 год по кодам классификация источников финансирования дефицитов бюджетов;</w:t>
      </w:r>
    </w:p>
    <w:p w:rsidR="00A52741" w:rsidRPr="00547DD7" w:rsidRDefault="00A52741" w:rsidP="00A5274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 - распределение трансфертов бюджетам сельских поселений из бюджета муниципального района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за 2022 год; </w:t>
      </w:r>
    </w:p>
    <w:p w:rsidR="00A52741" w:rsidRPr="00547DD7" w:rsidRDefault="00A52741" w:rsidP="00A5274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Предлагаем одобрить и внести проект решения на рассмотрении Совета сельского поселения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Акмурунский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547DD7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Pr="00547DD7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547DD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без поправок. </w:t>
      </w:r>
    </w:p>
    <w:p w:rsidR="00A52741" w:rsidRPr="00547DD7" w:rsidRDefault="00A52741" w:rsidP="00A5274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52741" w:rsidRPr="00547DD7" w:rsidRDefault="00A52741" w:rsidP="00A5274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52741" w:rsidRPr="00547DD7" w:rsidRDefault="00A52741" w:rsidP="00A5274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7DD7">
        <w:rPr>
          <w:rFonts w:ascii="Times New Roman" w:hAnsi="Times New Roman" w:cs="Times New Roman"/>
          <w:sz w:val="20"/>
          <w:szCs w:val="20"/>
        </w:rPr>
        <w:t xml:space="preserve">Председатель Совета КСП                        </w:t>
      </w:r>
    </w:p>
    <w:p w:rsidR="00620D95" w:rsidRPr="00547DD7" w:rsidRDefault="00547DD7">
      <w:pPr>
        <w:rPr>
          <w:sz w:val="20"/>
          <w:szCs w:val="20"/>
        </w:rPr>
      </w:pPr>
    </w:p>
    <w:sectPr w:rsidR="00620D95" w:rsidRPr="00547DD7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41"/>
    <w:rsid w:val="00316E54"/>
    <w:rsid w:val="003D7057"/>
    <w:rsid w:val="00547DD7"/>
    <w:rsid w:val="009E633F"/>
    <w:rsid w:val="00A52741"/>
    <w:rsid w:val="00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cp:lastPrinted>2023-03-29T10:19:00Z</cp:lastPrinted>
  <dcterms:created xsi:type="dcterms:W3CDTF">2023-03-29T05:44:00Z</dcterms:created>
  <dcterms:modified xsi:type="dcterms:W3CDTF">2023-03-29T10:36:00Z</dcterms:modified>
</cp:coreProperties>
</file>