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tblInd w:w="-792" w:type="dxa"/>
        <w:tblLayout w:type="fixed"/>
        <w:tblLook w:val="04A0"/>
      </w:tblPr>
      <w:tblGrid>
        <w:gridCol w:w="4342"/>
        <w:gridCol w:w="1911"/>
        <w:gridCol w:w="5417"/>
      </w:tblGrid>
      <w:tr w:rsidR="005F0888" w:rsidTr="005F0888">
        <w:trPr>
          <w:trHeight w:val="1899"/>
        </w:trPr>
        <w:tc>
          <w:tcPr>
            <w:tcW w:w="43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5F0888" w:rsidRDefault="005F0888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  <w:r>
              <w:rPr>
                <w:b/>
                <w:sz w:val="18"/>
                <w:szCs w:val="18"/>
              </w:rPr>
              <w:t xml:space="preserve">   БАЙМАК РАЙОНЫ МУНИЦИПАЛЬ  РАЙОНЫНЫҢ АКМОРОН АУЫЛ   СОВЕТЫ АУЫЛ БИЛӘМӘҺЕ  ХӘКИМИӘТЕ</w:t>
            </w:r>
          </w:p>
          <w:p w:rsidR="005F0888" w:rsidRDefault="005F0888">
            <w:pPr>
              <w:pStyle w:val="a7"/>
              <w:spacing w:line="276" w:lineRule="auto"/>
              <w:rPr>
                <w:rFonts w:ascii="Calibri" w:eastAsia="Arial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453676,Баймаҡкрайоны</w:t>
            </w:r>
            <w:proofErr w:type="gramStart"/>
            <w:r>
              <w:rPr>
                <w:b/>
                <w:sz w:val="16"/>
                <w:szCs w:val="16"/>
              </w:rPr>
              <w:t>,А</w:t>
            </w:r>
            <w:proofErr w:type="gramEnd"/>
            <w:r>
              <w:rPr>
                <w:b/>
                <w:sz w:val="16"/>
                <w:szCs w:val="16"/>
              </w:rPr>
              <w:t>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ауылы</w:t>
            </w:r>
            <w:proofErr w:type="spellEnd"/>
            <w:r>
              <w:rPr>
                <w:b/>
                <w:sz w:val="16"/>
                <w:szCs w:val="16"/>
              </w:rPr>
              <w:t xml:space="preserve">, Ленин урамы,41 тел.:8(34751) 4-33-67; </w:t>
            </w:r>
          </w:p>
          <w:p w:rsidR="005F0888" w:rsidRDefault="005F0888">
            <w:pPr>
              <w:pStyle w:val="a7"/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5F0888" w:rsidRDefault="005F0888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5F0888" w:rsidRDefault="005F088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РЕСПУБЛИКА БАШКОРТОСТАН  АДМИНИСТРАЦИЯ СЕЛЬСКОГО ПОСЕЛЕНИЯ АКМУРУНСКИЙ                            СЕЛЬСОВЕТ МУНИЦИПАЛЬНОГО  РАЙОНА </w:t>
            </w:r>
          </w:p>
          <w:p w:rsidR="005F0888" w:rsidRDefault="005F0888">
            <w:pPr>
              <w:pStyle w:val="a7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БАЙМАКСКИЙ РАЙОН</w:t>
            </w:r>
          </w:p>
          <w:p w:rsidR="005F0888" w:rsidRDefault="005F0888">
            <w:pPr>
              <w:pStyle w:val="a7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кмурун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 ул.Ленина,41</w:t>
            </w:r>
          </w:p>
          <w:p w:rsidR="005F0888" w:rsidRDefault="005F0888">
            <w:pPr>
              <w:pStyle w:val="a7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тел.:8(34751) 4-33-67;</w:t>
            </w:r>
          </w:p>
          <w:p w:rsidR="005F0888" w:rsidRDefault="005F0888">
            <w:pPr>
              <w:pStyle w:val="a7"/>
              <w:spacing w:line="276" w:lineRule="auto"/>
              <w:rPr>
                <w:rFonts w:eastAsiaTheme="minorEastAsi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E-mail.:akmur-sp@yandex.ru</w:t>
            </w:r>
            <w:proofErr w:type="spellEnd"/>
          </w:p>
        </w:tc>
      </w:tr>
    </w:tbl>
    <w:p w:rsid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</w:pPr>
      <w:r w:rsidRPr="006F5E50"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  <w:t>Карар</w:t>
      </w:r>
      <w:r w:rsidRPr="006F5E50"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  <w:t xml:space="preserve"> </w:t>
      </w:r>
      <w:r w:rsidRPr="006F5E50"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  <w:t>№98</w:t>
      </w:r>
      <w:r w:rsidRPr="006F5E50"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  <w:t xml:space="preserve">           </w:t>
      </w:r>
      <w:r w:rsidRPr="006F5E50">
        <w:rPr>
          <w:rFonts w:ascii="Times New Roman" w:eastAsia="Times New Roman" w:hAnsi="Times New Roman" w:cs="Times New Roman"/>
          <w:b/>
          <w:caps/>
          <w:color w:val="4D4D4D"/>
          <w:spacing w:val="15"/>
          <w:kern w:val="36"/>
          <w:sz w:val="24"/>
          <w:szCs w:val="24"/>
          <w:lang w:eastAsia="ru-RU"/>
        </w:rPr>
        <w:t>ПОСТАНОВЛЕНИЕ</w:t>
      </w:r>
    </w:p>
    <w:p w:rsidR="005F0888" w:rsidRDefault="006F5E50" w:rsidP="005F0888">
      <w:pPr>
        <w:pStyle w:val="a7"/>
        <w:rPr>
          <w:kern w:val="36"/>
          <w:lang w:eastAsia="ru-RU"/>
        </w:rPr>
      </w:pPr>
      <w:r w:rsidRPr="006F5E50">
        <w:rPr>
          <w:kern w:val="36"/>
          <w:lang w:eastAsia="ru-RU"/>
        </w:rPr>
        <w:t xml:space="preserve">         </w:t>
      </w:r>
      <w:r>
        <w:rPr>
          <w:kern w:val="36"/>
          <w:lang w:eastAsia="ru-RU"/>
        </w:rPr>
        <w:t xml:space="preserve">«03» ноябрь  2017й.    </w:t>
      </w:r>
      <w:r w:rsidRPr="006F5E50">
        <w:rPr>
          <w:kern w:val="36"/>
          <w:lang w:eastAsia="ru-RU"/>
        </w:rPr>
        <w:t xml:space="preserve">    </w:t>
      </w:r>
      <w:r>
        <w:rPr>
          <w:kern w:val="36"/>
          <w:lang w:eastAsia="ru-RU"/>
        </w:rPr>
        <w:t xml:space="preserve">                              </w:t>
      </w:r>
      <w:r w:rsidR="005F0888">
        <w:rPr>
          <w:kern w:val="36"/>
          <w:lang w:eastAsia="ru-RU"/>
        </w:rPr>
        <w:t xml:space="preserve">                                </w:t>
      </w:r>
      <w:r w:rsidRPr="006F5E50">
        <w:rPr>
          <w:kern w:val="36"/>
          <w:lang w:eastAsia="ru-RU"/>
        </w:rPr>
        <w:t xml:space="preserve"> «03» ноября 2017г. </w:t>
      </w:r>
    </w:p>
    <w:p w:rsidR="006F5E50" w:rsidRPr="006F5E50" w:rsidRDefault="006F5E50" w:rsidP="005F0888">
      <w:pPr>
        <w:pStyle w:val="a7"/>
        <w:rPr>
          <w:color w:val="686868"/>
          <w:lang w:eastAsia="ru-RU"/>
        </w:rPr>
      </w:pPr>
      <w:r w:rsidRPr="006F5E50">
        <w:rPr>
          <w:kern w:val="36"/>
          <w:lang w:eastAsia="ru-RU"/>
        </w:rPr>
        <w:t xml:space="preserve">   </w:t>
      </w:r>
    </w:p>
    <w:p w:rsidR="006F5E50" w:rsidRPr="006F5E50" w:rsidRDefault="006F5E50" w:rsidP="006F5E50">
      <w:pPr>
        <w:pStyle w:val="a7"/>
        <w:jc w:val="center"/>
        <w:rPr>
          <w:b/>
          <w:kern w:val="36"/>
          <w:sz w:val="24"/>
          <w:szCs w:val="24"/>
          <w:lang w:eastAsia="ru-RU"/>
        </w:rPr>
      </w:pPr>
      <w:r w:rsidRPr="006F5E50">
        <w:rPr>
          <w:kern w:val="36"/>
          <w:lang w:eastAsia="ru-RU"/>
        </w:rPr>
        <w:t>«</w:t>
      </w:r>
      <w:r w:rsidRPr="006F5E50">
        <w:rPr>
          <w:b/>
          <w:kern w:val="36"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АДМИНИСТРАЦИИ СЕЛЬСКОГО ПОСЕЛЕНИЯ АКМУРУНСКИЙ СЕЛЬСОВЕТ МУНИЦИПАЛЬНОГО РАЙОНА БАЙМАКСКИЙ РАЙОН И УРЕГУЛИРОВАНИЮ КОНФЛИКТА ИНТЕРЕСОВ»</w:t>
      </w:r>
    </w:p>
    <w:p w:rsid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proofErr w:type="gramStart"/>
      <w:r w:rsidRPr="006F5E50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 соответствии с Федеральным </w:t>
      </w:r>
      <w:hyperlink r:id="rId6" w:history="1">
        <w:r w:rsidRPr="006F5E50">
          <w:rPr>
            <w:rFonts w:ascii="Times New Roman" w:eastAsia="Times New Roman" w:hAnsi="Times New Roman" w:cs="Times New Roman"/>
            <w:color w:val="007DBC"/>
            <w:sz w:val="24"/>
            <w:szCs w:val="24"/>
            <w:lang w:eastAsia="ru-RU"/>
          </w:rPr>
          <w:t>законом</w:t>
        </w:r>
      </w:hyperlink>
      <w:r w:rsidRPr="006F5E50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 от 02.03.2007№ 25-ФЗ «О муниципальной службе в Российской Федерации», Федеральным </w:t>
      </w:r>
      <w:hyperlink r:id="rId7" w:history="1">
        <w:r w:rsidRPr="006F5E50">
          <w:rPr>
            <w:rFonts w:ascii="Times New Roman" w:eastAsia="Times New Roman" w:hAnsi="Times New Roman" w:cs="Times New Roman"/>
            <w:color w:val="007DBC"/>
            <w:sz w:val="24"/>
            <w:szCs w:val="24"/>
            <w:lang w:eastAsia="ru-RU"/>
          </w:rPr>
          <w:t>законом</w:t>
        </w:r>
      </w:hyperlink>
      <w:r w:rsidRPr="006F5E50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 от 25.12.2008 № 273-ФЗ «О противодействии коррупции», Законом Республики Башкортостан от 16.07.2007 N 453-з «О муниципальной службе в Республике Башкортостан» для обеспечения соблюдения муниципальными служащими общих принципов служебного поведения и урегулирования конфликта интересов в Администрации сельского поселения Акмурунский сельсовет   муниципального района Баймакский район и урегулированию</w:t>
      </w:r>
      <w:proofErr w:type="gramEnd"/>
      <w:r w:rsidRPr="006F5E50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 конфликта интересов может образовываться Комиссия по соблюдению требований к служебному поведению муниципальных служащих и урегулированию конфликтов интересов и определяется порядок формирования и деятельности данной комиссий.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6F5E50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 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6F5E50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постановляю: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6F5E50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Создать комиссию по соблюдению требований к служебному поведению муниципальных служащих Администрации сельского поселения Акмурунский сельсовет   муниципального района Баймакский район и урегулированию конфликта интересов и утвердить порядок формирования и деятельности данной комиссии согласно Приложению.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6F5E50">
        <w:rPr>
          <w:rFonts w:ascii="Times New Roman" w:eastAsia="Times New Roman" w:hAnsi="Times New Roman" w:cs="Times New Roman"/>
          <w:b/>
          <w:bCs/>
          <w:i/>
          <w:iCs/>
          <w:color w:val="686868"/>
          <w:sz w:val="24"/>
          <w:szCs w:val="24"/>
          <w:lang w:eastAsia="ru-RU"/>
        </w:rPr>
        <w:t> 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6F5E50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Глава сельского поселения</w:t>
      </w:r>
    </w:p>
    <w:p w:rsid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6F5E50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Акмурунский сельсовет:                                  М.А. </w:t>
      </w:r>
      <w:proofErr w:type="spellStart"/>
      <w:r w:rsidRPr="006F5E50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Абубакир</w:t>
      </w: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     </w:t>
      </w:r>
    </w:p>
    <w:p w:rsid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</w:p>
    <w:p w:rsid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</w:p>
    <w:p w:rsid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</w:p>
    <w:p w:rsid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</w:p>
    <w:p w:rsid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</w:p>
    <w:p w:rsid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</w:p>
    <w:p w:rsidR="006F5E50" w:rsidRPr="005F0888" w:rsidRDefault="006F5E50" w:rsidP="006F5E50">
      <w:pPr>
        <w:pStyle w:val="a7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5F088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F0888">
        <w:rPr>
          <w:rFonts w:ascii="Times New Roman" w:hAnsi="Times New Roman" w:cs="Times New Roman"/>
          <w:sz w:val="21"/>
          <w:szCs w:val="21"/>
          <w:lang w:eastAsia="ru-RU"/>
        </w:rPr>
        <w:t>Приложение</w:t>
      </w:r>
    </w:p>
    <w:p w:rsidR="006F5E50" w:rsidRPr="005F0888" w:rsidRDefault="006F5E50" w:rsidP="006F5E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5F0888">
        <w:rPr>
          <w:rFonts w:ascii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</w:t>
      </w:r>
      <w:r w:rsidRPr="005F088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F5E50" w:rsidRPr="005F0888" w:rsidRDefault="006F5E50" w:rsidP="006F5E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5F0888">
        <w:rPr>
          <w:rFonts w:ascii="Times New Roman" w:hAnsi="Times New Roman" w:cs="Times New Roman"/>
          <w:sz w:val="20"/>
          <w:szCs w:val="20"/>
        </w:rPr>
        <w:t>СП Акмурунский сельсовет</w:t>
      </w:r>
    </w:p>
    <w:p w:rsidR="006F5E50" w:rsidRPr="005F0888" w:rsidRDefault="006F5E50" w:rsidP="006F5E5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F0888">
        <w:rPr>
          <w:rFonts w:ascii="Times New Roman" w:hAnsi="Times New Roman" w:cs="Times New Roman"/>
          <w:sz w:val="20"/>
          <w:szCs w:val="20"/>
        </w:rPr>
        <w:t xml:space="preserve"> № 98 от 03.11.2017 г</w:t>
      </w:r>
      <w:r w:rsidRPr="005F0888">
        <w:rPr>
          <w:rFonts w:ascii="Times New Roman" w:hAnsi="Times New Roman" w:cs="Times New Roman"/>
          <w:szCs w:val="28"/>
        </w:rPr>
        <w:t>.</w:t>
      </w:r>
    </w:p>
    <w:p w:rsidR="006F5E50" w:rsidRPr="005F0888" w:rsidRDefault="006F5E50" w:rsidP="006F5E50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5F0888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ru-RU"/>
        </w:rPr>
      </w:pPr>
      <w:r w:rsidRPr="005F0888">
        <w:rPr>
          <w:rFonts w:ascii="Times New Roman" w:eastAsia="Times New Roman" w:hAnsi="Times New Roman" w:cs="Times New Roman"/>
          <w:b/>
          <w:bCs/>
          <w:color w:val="686868"/>
          <w:sz w:val="21"/>
          <w:lang w:eastAsia="ru-RU"/>
        </w:rPr>
        <w:t>ПОЛОЖЕНИЕ О КОМИССИИ ПО СОБЛЮДЕНИЮ ТРЕБОВАНИЙ К СЛУЖЕБНОМУ ПОВЕДЕНИЮМУНИЦИПАЛЬНЫХ СЛУЖАЩИХ И УРЕГУЛИРОВАНИЮ КОНФЛИКТА ИНТЕРЕСОВ</w:t>
      </w:r>
    </w:p>
    <w:p w:rsidR="006F5E50" w:rsidRPr="006F5E50" w:rsidRDefault="006F5E50" w:rsidP="006F5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— комиссии, комиссия), образуемых в органах местного самоуправления в соответствии с Федеральным </w:t>
      </w: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fldChar w:fldCharType="begin"/>
      </w: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instrText xml:space="preserve"> HYPERLINK "consultantplus://offline/ref=AB6867096A66E8A67BAE758F703324B4E9E245EC2F4185F3B86E466377R3X4J" </w:instrText>
      </w: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fldChar w:fldCharType="separate"/>
      </w:r>
      <w:r w:rsidRPr="006F5E50">
        <w:rPr>
          <w:rFonts w:ascii="PT Sans" w:eastAsia="Times New Roman" w:hAnsi="PT Sans" w:cs="Times New Roman"/>
          <w:color w:val="007DBC"/>
          <w:sz w:val="21"/>
          <w:lang w:eastAsia="ru-RU"/>
        </w:rPr>
        <w:t>законом</w:t>
      </w: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fldChar w:fldCharType="end"/>
      </w: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от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2 марта 2007 года N 25-ФЗ «О муниципальной службе в Российской Федерации» (далее — Федеральный закон «О муниципальной службе в Российской Федерации»), Федеральным </w:t>
      </w:r>
      <w:hyperlink r:id="rId8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законом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от 25.12.2008 № 273-ФЗ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«О противодействии коррупции» (далее — Федеральный закон «О противодействии коррупции»).</w:t>
      </w:r>
    </w:p>
    <w:p w:rsidR="006F5E50" w:rsidRPr="006F5E50" w:rsidRDefault="006F5E50" w:rsidP="006F5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Комиссии в своей деятельности руководствуются </w:t>
      </w:r>
      <w:hyperlink r:id="rId9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Конституцией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Российской Федерации, </w:t>
      </w:r>
      <w:hyperlink r:id="rId10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Конституцией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6F5E50" w:rsidRPr="006F5E50" w:rsidRDefault="006F5E50" w:rsidP="006F5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Основной задачей комиссий является содействие органам местного самоуправления: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 </w:t>
      </w:r>
      <w:hyperlink r:id="rId11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законом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«О муниципальной службе в Российской Федерации», Федеральным </w:t>
      </w:r>
      <w:hyperlink r:id="rId12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законом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  <w:proofErr w:type="gramEnd"/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6F5E50" w:rsidRPr="006F5E50" w:rsidRDefault="006F5E50" w:rsidP="006F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6F5E50" w:rsidRPr="006F5E50" w:rsidRDefault="006F5E50" w:rsidP="006F5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5E50" w:rsidRPr="006F5E50" w:rsidRDefault="006F5E50" w:rsidP="006F5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состав комиссии входят: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председатель комиссии — заместитель руководителя органа местного самоуправления;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в) секретарь комиссии —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г) члены комиссии —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6F5E50" w:rsidRPr="006F5E50" w:rsidRDefault="006F5E50" w:rsidP="006F5E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lastRenderedPageBreak/>
        <w:t>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6F5E50" w:rsidRPr="006F5E50" w:rsidRDefault="006F5E50" w:rsidP="006F5E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межпоселенческая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комиссия.</w:t>
      </w:r>
    </w:p>
    <w:p w:rsidR="006F5E50" w:rsidRPr="006F5E50" w:rsidRDefault="006F5E50" w:rsidP="006F5E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межпоселенческой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6F5E50" w:rsidRPr="006F5E50" w:rsidRDefault="006F5E50" w:rsidP="006F5E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Руководитель органа местного самоуправления может принять решение о включении в состав комиссии: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6F5E50" w:rsidRPr="006F5E50" w:rsidRDefault="006F5E50" w:rsidP="006F5E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Лица, указанные в </w:t>
      </w:r>
      <w:hyperlink r:id="rId13" w:anchor="Par13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пунктах 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и </w:t>
      </w:r>
      <w:hyperlink r:id="rId14" w:anchor="Par17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10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6F5E50" w:rsidRPr="006F5E50" w:rsidRDefault="006F5E50" w:rsidP="006F5E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F5E50" w:rsidRPr="006F5E50" w:rsidRDefault="006F5E50" w:rsidP="006F5E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5E50" w:rsidRPr="006F5E50" w:rsidRDefault="006F5E50" w:rsidP="006F5E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заседаниях комиссии с правом совещательного голоса участвуют: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F5E50" w:rsidRPr="006F5E50" w:rsidRDefault="006F5E50" w:rsidP="006F5E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F5E50" w:rsidRPr="006F5E50" w:rsidRDefault="006F5E50" w:rsidP="006F5E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5E50" w:rsidRPr="006F5E50" w:rsidRDefault="006F5E50" w:rsidP="006F5E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Основаниями для проведения заседания комиссии являются: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представление руководителем органа местного самоуправления в соответствии с </w:t>
      </w:r>
      <w:hyperlink r:id="rId15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подпунктом «г» пункта 21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</w:t>
      </w: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lastRenderedPageBreak/>
        <w:t>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— Положение о проверке достоверности и полноты сведений), материалов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проверки, 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свидетельствующих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о представлении муниципальным служащим недостоверных или неполных сведений, предусмотренных </w:t>
      </w:r>
      <w:hyperlink r:id="rId16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подпунктом «а» пункта 1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Положения о проверке достоверности и полноты сведений;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б) 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поступившее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двух лет со дня увольнения с муниципальной службы;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г) поступившее в соответствии с </w:t>
      </w:r>
      <w:hyperlink r:id="rId17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частью 4 статьи 12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Федерального закона «О противодействии коррупции» и </w:t>
      </w:r>
      <w:hyperlink r:id="rId18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статьей 64.1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или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17.1. Обращение, указанное в </w:t>
      </w:r>
      <w:hyperlink r:id="rId19" w:anchor="Par34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втором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 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20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статьи 12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Федерального закона «О противодействии коррупции».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lastRenderedPageBreak/>
        <w:t>17.2. Обращение, указанное в </w:t>
      </w:r>
      <w:hyperlink r:id="rId21" w:anchor="Par34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втором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17.3. Уведомление, указанное в </w:t>
      </w:r>
      <w:hyperlink r:id="rId22" w:anchor="Par40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подпункте «г»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 </w:t>
      </w:r>
      <w:hyperlink r:id="rId23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статьи 12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Федерального закона «О противодействии коррупции».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17.4. Уведомление, указанное в </w:t>
      </w:r>
      <w:hyperlink r:id="rId24" w:anchor="Par37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четвертом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17.5. 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25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втором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или уведомлений, указанных в </w:t>
      </w:r>
      <w:hyperlink r:id="rId26" w:anchor="Par37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четвертом подпункта «б»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и </w:t>
      </w:r>
      <w:hyperlink r:id="rId27" w:anchor="Par40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подпункте «г»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F5E50" w:rsidRPr="006F5E50" w:rsidRDefault="006F5E50" w:rsidP="006F5E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5E50" w:rsidRPr="006F5E50" w:rsidRDefault="006F5E50" w:rsidP="006F5E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8" w:anchor="Par58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пунктами 19.1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и </w:t>
      </w:r>
      <w:hyperlink r:id="rId29" w:anchor="Par60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19.2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с результатами ее проверки;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в) рассматривает ходатайства о приглашении на заседание комиссии лиц, указанных в </w:t>
      </w:r>
      <w:hyperlink r:id="rId30" w:anchor="Par26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подпункте «б» пункта 14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19.1. Заседание комиссии по рассмотрению заявления, указанного в </w:t>
      </w:r>
      <w:hyperlink r:id="rId31" w:anchor="Par35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третьем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19.2. Уведомление, указанное в </w:t>
      </w:r>
      <w:hyperlink r:id="rId32" w:anchor="Par40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подпункте «г»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рассматривается на очередном (плановом) заседании комиссии.</w:t>
      </w:r>
    </w:p>
    <w:p w:rsidR="006F5E50" w:rsidRPr="006F5E50" w:rsidRDefault="006F5E50" w:rsidP="006F5E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lastRenderedPageBreak/>
        <w:t>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33" w:anchor="Par33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подпунктом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20.1. Заседания комиссии могут проводиться в отсутствие муниципального служащего или гражданина в случае: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если в обращении, заявлении или уведомлении, предусмотренных </w:t>
      </w:r>
      <w:hyperlink r:id="rId34" w:anchor="Par33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подпунктом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F5E50" w:rsidRPr="006F5E50" w:rsidRDefault="006F5E50" w:rsidP="006F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F5E50" w:rsidRPr="006F5E50" w:rsidRDefault="006F5E50" w:rsidP="006F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5E50" w:rsidRPr="006F5E50" w:rsidRDefault="006F5E50" w:rsidP="006F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По итогам рассмотрения вопроса, указанного в </w:t>
      </w:r>
      <w:hyperlink r:id="rId35" w:anchor="Par31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втором подпункта «а»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комиссия принимает одно из следующих решений: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установить, что сведения, представленные муниципальным служащим в соответствии с </w:t>
      </w:r>
      <w:hyperlink r:id="rId36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подпунктом «а» пункта 1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Положения о проверке достоверности и полноты сведений, являются достоверными и полными;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установить, что сведения, представленные муниципальным служащим в соответствии с </w:t>
      </w:r>
      <w:hyperlink r:id="rId37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подпунктом «а» пункта 1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F5E50" w:rsidRPr="006F5E50" w:rsidRDefault="006F5E50" w:rsidP="006F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По итогам рассмотрения вопроса, указанного в </w:t>
      </w:r>
      <w:hyperlink r:id="rId38" w:anchor="Par32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третьем подпункта «а»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комиссия принимает одно из следующих решений: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F5E50" w:rsidRPr="006F5E50" w:rsidRDefault="006F5E50" w:rsidP="006F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По итогам рассмотрения вопроса, указанного в </w:t>
      </w:r>
      <w:hyperlink r:id="rId39" w:anchor="Par34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втором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комиссия принимает одно из следующих решений: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25.1. По итогам рассмотрения вопроса, указанного в </w:t>
      </w:r>
      <w:hyperlink r:id="rId40" w:anchor="Par37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четвертом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комиссия принимает одно из следующих решений: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F5E50" w:rsidRPr="006F5E50" w:rsidRDefault="006F5E50" w:rsidP="006F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По итогам рассмотрения вопроса, указанного в </w:t>
      </w:r>
      <w:hyperlink r:id="rId41" w:anchor="Par35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третьем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комиссия принимает одно из следующих решений: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26.1. По итогам рассмотрения вопросов, указанных в </w:t>
      </w:r>
      <w:hyperlink r:id="rId42" w:anchor="Par30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подпунктах «а»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, </w:t>
      </w:r>
      <w:hyperlink r:id="rId43" w:anchor="Par33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при наличии к тому оснований комиссия может принять иное решение, чем это предусмотрено </w:t>
      </w:r>
      <w:hyperlink r:id="rId44" w:anchor="Par71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пунктами 23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— </w:t>
      </w:r>
      <w:hyperlink r:id="rId45" w:anchor="Par85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26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26.2. По итогам рассмотрения вопроса, указанного в </w:t>
      </w:r>
      <w:hyperlink r:id="rId46" w:anchor="Par40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подпункте «г»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 </w:t>
      </w:r>
      <w:hyperlink r:id="rId47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статьи 12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8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статьи 12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F5E50" w:rsidRPr="006F5E50" w:rsidRDefault="006F5E50" w:rsidP="006F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По итогам рассмотрения вопроса, предусмотренного </w:t>
      </w:r>
      <w:hyperlink r:id="rId49" w:anchor="Par39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подпунктом «в»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комиссия принимает соответствующее решение.</w:t>
      </w:r>
    </w:p>
    <w:p w:rsidR="006F5E50" w:rsidRPr="006F5E50" w:rsidRDefault="006F5E50" w:rsidP="006F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6F5E50" w:rsidRPr="006F5E50" w:rsidRDefault="006F5E50" w:rsidP="006F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lastRenderedPageBreak/>
        <w:t>Решения комиссии по вопросам, указанным в </w:t>
      </w:r>
      <w:hyperlink r:id="rId50" w:anchor="Par29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пункте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5E50" w:rsidRPr="006F5E50" w:rsidRDefault="006F5E50" w:rsidP="006F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51" w:anchor="Par34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втором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 </w:t>
      </w:r>
      <w:hyperlink r:id="rId52" w:anchor="Par34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втором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настоящего Положения, носит обязательный характер.</w:t>
      </w:r>
    </w:p>
    <w:p w:rsidR="006F5E50" w:rsidRPr="006F5E50" w:rsidRDefault="006F5E50" w:rsidP="006F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протоколе заседания комиссии указываются: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д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ж) другие сведения;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з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) результаты голосования;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и) решение и обоснование его принятия.</w:t>
      </w:r>
    </w:p>
    <w:p w:rsidR="006F5E50" w:rsidRPr="006F5E50" w:rsidRDefault="006F5E50" w:rsidP="006F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F5E50" w:rsidRPr="006F5E50" w:rsidRDefault="006F5E50" w:rsidP="006F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6F5E50" w:rsidRPr="006F5E50" w:rsidRDefault="006F5E50" w:rsidP="006F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компетенции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F5E50" w:rsidRPr="006F5E50" w:rsidRDefault="006F5E50" w:rsidP="006F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F5E50" w:rsidRPr="006F5E50" w:rsidRDefault="006F5E50" w:rsidP="006F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— немедленно.</w:t>
      </w:r>
      <w:proofErr w:type="gramEnd"/>
    </w:p>
    <w:p w:rsidR="006F5E50" w:rsidRPr="006F5E50" w:rsidRDefault="006F5E50" w:rsidP="006F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lastRenderedPageBreak/>
        <w:t xml:space="preserve">37.1. 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 </w:t>
      </w:r>
      <w:hyperlink r:id="rId53" w:anchor="Par34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 втором подпункта «б» пункта 17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проведения соответствующего заседания комиссии.</w:t>
      </w:r>
    </w:p>
    <w:p w:rsidR="006F5E50" w:rsidRPr="006F5E50" w:rsidRDefault="006F5E50" w:rsidP="006F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6F5E50" w:rsidRPr="006F5E50" w:rsidRDefault="006F5E50" w:rsidP="006F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Каждый случай невыполнения требований, предусмотренных </w:t>
      </w:r>
      <w:hyperlink r:id="rId54" w:history="1">
        <w:r w:rsidRPr="006F5E50">
          <w:rPr>
            <w:rFonts w:ascii="PT Sans" w:eastAsia="Times New Roman" w:hAnsi="PT Sans" w:cs="Times New Roman"/>
            <w:color w:val="007DBC"/>
            <w:sz w:val="21"/>
            <w:lang w:eastAsia="ru-RU"/>
          </w:rPr>
          <w:t>абзацем вторым части 1</w:t>
        </w:r>
      </w:hyperlink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статьи 7.3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6F5E50" w:rsidRPr="006F5E50" w:rsidRDefault="006F5E50" w:rsidP="006F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Председателем комиссии утвердить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Абубакирова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Марса </w:t>
      </w: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Ахсанович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-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глава АСП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состав комиссии входят: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Яхина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</w:t>
      </w: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Линера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</w:t>
      </w: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Нургалеевн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-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управ. делами АСП</w:t>
      </w:r>
    </w:p>
    <w:p w:rsidR="006F5E50" w:rsidRPr="006F5E50" w:rsidRDefault="006F5E50" w:rsidP="006F5E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Байзигитова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</w:t>
      </w: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Алсу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</w:t>
      </w:r>
      <w:proofErr w:type="spell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Ильгизовн</w:t>
      </w:r>
      <w:proofErr w:type="gramStart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</w:t>
      </w:r>
      <w:proofErr w:type="spell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-</w:t>
      </w:r>
      <w:proofErr w:type="gramEnd"/>
      <w:r w:rsidRPr="006F5E50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депутат АСП</w:t>
      </w:r>
    </w:p>
    <w:p w:rsidR="00C01163" w:rsidRDefault="00C01163"/>
    <w:sectPr w:rsidR="00C01163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55"/>
    <w:multiLevelType w:val="multilevel"/>
    <w:tmpl w:val="53E260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0BD2"/>
    <w:multiLevelType w:val="multilevel"/>
    <w:tmpl w:val="66624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14BE"/>
    <w:multiLevelType w:val="multilevel"/>
    <w:tmpl w:val="E6C4A3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4794"/>
    <w:multiLevelType w:val="multilevel"/>
    <w:tmpl w:val="82465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F4456"/>
    <w:multiLevelType w:val="multilevel"/>
    <w:tmpl w:val="BF5000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5109"/>
    <w:multiLevelType w:val="multilevel"/>
    <w:tmpl w:val="1D78E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37CDE"/>
    <w:multiLevelType w:val="multilevel"/>
    <w:tmpl w:val="2F2022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F73C1"/>
    <w:multiLevelType w:val="multilevel"/>
    <w:tmpl w:val="E64C76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802B7"/>
    <w:multiLevelType w:val="multilevel"/>
    <w:tmpl w:val="A4CCC3D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D29B5"/>
    <w:multiLevelType w:val="multilevel"/>
    <w:tmpl w:val="9CD2B7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A6D67"/>
    <w:multiLevelType w:val="multilevel"/>
    <w:tmpl w:val="D01446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03581"/>
    <w:multiLevelType w:val="multilevel"/>
    <w:tmpl w:val="AC7C82C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538B3"/>
    <w:multiLevelType w:val="multilevel"/>
    <w:tmpl w:val="F01618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800EE"/>
    <w:multiLevelType w:val="multilevel"/>
    <w:tmpl w:val="9808D3F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70D36"/>
    <w:multiLevelType w:val="multilevel"/>
    <w:tmpl w:val="8EF6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50"/>
    <w:rsid w:val="000F3A18"/>
    <w:rsid w:val="000F751C"/>
    <w:rsid w:val="00182AB2"/>
    <w:rsid w:val="001D5695"/>
    <w:rsid w:val="002105A1"/>
    <w:rsid w:val="00245C59"/>
    <w:rsid w:val="002624CA"/>
    <w:rsid w:val="00297FE6"/>
    <w:rsid w:val="00303155"/>
    <w:rsid w:val="00323D1B"/>
    <w:rsid w:val="00374E32"/>
    <w:rsid w:val="003B06A8"/>
    <w:rsid w:val="00435481"/>
    <w:rsid w:val="0053520E"/>
    <w:rsid w:val="005A3E2D"/>
    <w:rsid w:val="005F0888"/>
    <w:rsid w:val="006B6265"/>
    <w:rsid w:val="006F1063"/>
    <w:rsid w:val="006F5E50"/>
    <w:rsid w:val="006F75D7"/>
    <w:rsid w:val="0075217A"/>
    <w:rsid w:val="008046FB"/>
    <w:rsid w:val="00830F24"/>
    <w:rsid w:val="00897D03"/>
    <w:rsid w:val="008B60CC"/>
    <w:rsid w:val="008D7C55"/>
    <w:rsid w:val="008F710E"/>
    <w:rsid w:val="009040AF"/>
    <w:rsid w:val="00905AE7"/>
    <w:rsid w:val="00964E19"/>
    <w:rsid w:val="009A1052"/>
    <w:rsid w:val="009E184A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D313C6"/>
    <w:rsid w:val="00D80B47"/>
    <w:rsid w:val="00D86EC0"/>
    <w:rsid w:val="00DA2F6F"/>
    <w:rsid w:val="00DF2815"/>
    <w:rsid w:val="00E219BA"/>
    <w:rsid w:val="00E40360"/>
    <w:rsid w:val="00E93130"/>
    <w:rsid w:val="00F02625"/>
    <w:rsid w:val="00F1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3"/>
  </w:style>
  <w:style w:type="paragraph" w:styleId="1">
    <w:name w:val="heading 1"/>
    <w:basedOn w:val="a"/>
    <w:link w:val="10"/>
    <w:uiPriority w:val="9"/>
    <w:qFormat/>
    <w:rsid w:val="006F5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E50"/>
    <w:rPr>
      <w:color w:val="0000FF"/>
      <w:u w:val="single"/>
    </w:rPr>
  </w:style>
  <w:style w:type="character" w:styleId="a5">
    <w:name w:val="Strong"/>
    <w:basedOn w:val="a0"/>
    <w:uiPriority w:val="22"/>
    <w:qFormat/>
    <w:rsid w:val="006F5E50"/>
    <w:rPr>
      <w:b/>
      <w:bCs/>
    </w:rPr>
  </w:style>
  <w:style w:type="character" w:styleId="a6">
    <w:name w:val="Emphasis"/>
    <w:basedOn w:val="a0"/>
    <w:uiPriority w:val="20"/>
    <w:qFormat/>
    <w:rsid w:val="006F5E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qFormat/>
    <w:rsid w:val="006F5E5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18" Type="http://schemas.openxmlformats.org/officeDocument/2006/relationships/hyperlink" Target="consultantplus://offline/ref=016ED73B72570A5AE3F90A4304AB05EDDDB4FBF5E6F6CDDF2D1F313307FC1CCE9B0DC510596AqCqCF" TargetMode="External"/><Relationship Id="rId26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9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21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4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42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47" Type="http://schemas.openxmlformats.org/officeDocument/2006/relationships/hyperlink" Target="consultantplus://offline/ref=016ED73B72570A5AE3F90A4304AB05EDDDB7FAF3E4F6CDDF2D1F313307FC1CCE9B0DC513q5q7F" TargetMode="External"/><Relationship Id="rId50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B6867096A66E8A67BAE758F703324B4E9E24AE22A4185F3B86E466377R3X4J" TargetMode="External"/><Relationship Id="rId12" Type="http://schemas.openxmlformats.org/officeDocument/2006/relationships/hyperlink" Target="consultantplus://offline/ref=016ED73B72570A5AE3F90A4304AB05EDDDB7FAF3E4F6CDDF2D1F313307qFqCF" TargetMode="External"/><Relationship Id="rId17" Type="http://schemas.openxmlformats.org/officeDocument/2006/relationships/hyperlink" Target="consultantplus://offline/ref=016ED73B72570A5AE3F90A4304AB05EDDDB7FAF3E4F6CDDF2D1F313307FC1CCE9B0DC512q5qDF" TargetMode="External"/><Relationship Id="rId25" Type="http://schemas.openxmlformats.org/officeDocument/2006/relationships/hyperlink" Target="consultantplus://offline/ref=016ED73B72570A5AE3F9144E12C75AE4DFBDA4FEE1F2C58D724D376458AC1A9BDB4DC3451D2FC2491C78D888q1q1F" TargetMode="External"/><Relationship Id="rId33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8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46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6ED73B72570A5AE3F9144E12C75AE4DFBDA4FEE1F2C58D724D376458AC1A9BDB4DC3451D2FC2491C78DA8Fq1q3F" TargetMode="External"/><Relationship Id="rId20" Type="http://schemas.openxmlformats.org/officeDocument/2006/relationships/hyperlink" Target="consultantplus://offline/ref=016ED73B72570A5AE3F90A4304AB05EDDDB7FAF3E4F6CDDF2D1F313307FC1CCE9B0DC513q5q6F" TargetMode="External"/><Relationship Id="rId29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41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54" Type="http://schemas.openxmlformats.org/officeDocument/2006/relationships/hyperlink" Target="consultantplus://offline/ref=B9E43D40AC5CD8711FA7CDCE3787993D1A815DDA09D18D68B7F800A2D2F1BBB8A05DE06FE51B7FE4ADAC7B67u41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6867096A66E8A67BAE758F703324B4E9E245EC2F4185F3B86E466377R3X4J" TargetMode="External"/><Relationship Id="rId11" Type="http://schemas.openxmlformats.org/officeDocument/2006/relationships/hyperlink" Target="consultantplus://offline/ref=016ED73B72570A5AE3F90A4304AB05EDDDB4FAFAE8F5CDDF2D1F313307qFqCF" TargetMode="External"/><Relationship Id="rId24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2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7" Type="http://schemas.openxmlformats.org/officeDocument/2006/relationships/hyperlink" Target="consultantplus://offline/ref=016ED73B72570A5AE3F9144E12C75AE4DFBDA4FEE1F2C58D724D376458AC1A9BDB4DC3451D2FC2491C78DA8Fq1q3F" TargetMode="External"/><Relationship Id="rId40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45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53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16ED73B72570A5AE3F9144E12C75AE4DFBDA4FEE1F2C58D724D376458AC1A9BDB4DC3451D2FC2491C78DA89q1qEF" TargetMode="External"/><Relationship Id="rId23" Type="http://schemas.openxmlformats.org/officeDocument/2006/relationships/hyperlink" Target="consultantplus://offline/ref=016ED73B72570A5AE3F90A4304AB05EDDDB7FAF3E4F6CDDF2D1F313307FC1CCE9B0DC513q5q6F" TargetMode="External"/><Relationship Id="rId28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6" Type="http://schemas.openxmlformats.org/officeDocument/2006/relationships/hyperlink" Target="consultantplus://offline/ref=016ED73B72570A5AE3F9144E12C75AE4DFBDA4FEE1F2C58D724D376458AC1A9BDB4DC3451D2FC2491C78DA8Fq1q3F" TargetMode="External"/><Relationship Id="rId49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10" Type="http://schemas.openxmlformats.org/officeDocument/2006/relationships/hyperlink" Target="consultantplus://offline/ref=016ED73B72570A5AE3F9144E12C75AE4DFBDA4FEE9F2C78F70406A6E50F51699qDqCF" TargetMode="External"/><Relationship Id="rId19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1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44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52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ED73B72570A5AE3F90A4304AB05EDDDBEFDF6EBA59ADD7C4A3Fq3q6F" TargetMode="External"/><Relationship Id="rId14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22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27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0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5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43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48" Type="http://schemas.openxmlformats.org/officeDocument/2006/relationships/hyperlink" Target="consultantplus://offline/ref=016ED73B72570A5AE3F90A4304AB05EDDDB7FAF3E4F6CDDF2D1F313307FC1CCE9B0DC513q5q6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B6867096A66E8A67BAE758F703324B4E9E24AE22A4185F3B86E466377R3X4J" TargetMode="External"/><Relationship Id="rId51" Type="http://schemas.openxmlformats.org/officeDocument/2006/relationships/hyperlink" Target="http://akmurun.ru/o-komissii-po-soblyudeniyu-trebovaniy-k-sluzhebnomu-povedeniyu-munitsipalnyih-sluzhashhih-administratsii-selskogo-poseleniya-akmurunskiy-selsovet-munitsipalnogo-rayona-baymakskiy-rayon-i-uregulir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1</cp:revision>
  <dcterms:created xsi:type="dcterms:W3CDTF">2019-01-25T12:45:00Z</dcterms:created>
  <dcterms:modified xsi:type="dcterms:W3CDTF">2019-01-25T12:58:00Z</dcterms:modified>
</cp:coreProperties>
</file>